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ED01" w14:textId="77777777" w:rsidR="00620DEB" w:rsidRDefault="00620DEB" w:rsidP="00620DEB">
      <w:pPr>
        <w:jc w:val="righ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1/17/17</w:t>
      </w:r>
    </w:p>
    <w:p w14:paraId="6BAD124E" w14:textId="77777777" w:rsidR="00620DEB" w:rsidRPr="00C21749" w:rsidRDefault="00620DEB" w:rsidP="00620DE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C21749">
        <w:rPr>
          <w:b/>
          <w:bCs/>
          <w:color w:val="000000"/>
          <w:sz w:val="22"/>
          <w:szCs w:val="22"/>
          <w:u w:val="single"/>
        </w:rPr>
        <w:t>Appendix D</w:t>
      </w:r>
    </w:p>
    <w:p w14:paraId="69A43D75" w14:textId="77777777" w:rsidR="00620DEB" w:rsidRPr="00C21749" w:rsidRDefault="00620DEB" w:rsidP="00620DE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C21749">
        <w:rPr>
          <w:b/>
          <w:bCs/>
          <w:color w:val="000000"/>
          <w:sz w:val="22"/>
          <w:szCs w:val="22"/>
          <w:u w:val="single"/>
        </w:rPr>
        <w:t>AT&amp;T AdWorks LLC as Publisher</w:t>
      </w:r>
    </w:p>
    <w:p w14:paraId="5CD6ACE9" w14:textId="77777777" w:rsidR="00620DEB" w:rsidRPr="00C21749" w:rsidRDefault="00620DEB" w:rsidP="00620DEB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C21749">
        <w:rPr>
          <w:b/>
          <w:bCs/>
          <w:color w:val="000000"/>
          <w:sz w:val="22"/>
          <w:szCs w:val="22"/>
          <w:u w:val="single"/>
        </w:rPr>
        <w:t>Rider for Insertion Orders Under Ver. 3.0 of the 4A/IAB Terms</w:t>
      </w:r>
    </w:p>
    <w:p w14:paraId="32B446B4" w14:textId="77777777" w:rsidR="00620DEB" w:rsidRDefault="00620DEB" w:rsidP="00620DEB">
      <w:pPr>
        <w:rPr>
          <w:color w:val="000000"/>
          <w:sz w:val="22"/>
          <w:szCs w:val="22"/>
        </w:rPr>
      </w:pPr>
    </w:p>
    <w:p w14:paraId="49093BFC" w14:textId="77777777" w:rsidR="00620DEB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The parties to the IO agree that the IO will be governed by the IAB Standard Terms and Conditions for Internet Advertising for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 xml:space="preserve">Media Buys One Year or Less (Ver. 3.0) (the </w:t>
      </w:r>
      <w:r>
        <w:rPr>
          <w:color w:val="000000"/>
          <w:sz w:val="22"/>
          <w:szCs w:val="22"/>
        </w:rPr>
        <w:t>“</w:t>
      </w:r>
      <w:r w:rsidRPr="00C21749">
        <w:rPr>
          <w:b/>
          <w:bCs/>
          <w:color w:val="000000"/>
          <w:sz w:val="22"/>
          <w:szCs w:val="22"/>
        </w:rPr>
        <w:t>IAB Terms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). However, not all of the provisions of the IAB Terms are applicable to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 xml:space="preserve">the advertising products and services offered by AT&amp;T AdWorks (the </w:t>
      </w:r>
      <w:r>
        <w:rPr>
          <w:color w:val="000000"/>
          <w:sz w:val="22"/>
          <w:szCs w:val="22"/>
        </w:rPr>
        <w:t>“</w:t>
      </w:r>
      <w:r w:rsidRPr="00C21749">
        <w:rPr>
          <w:b/>
          <w:bCs/>
          <w:color w:val="000000"/>
          <w:sz w:val="22"/>
          <w:szCs w:val="22"/>
        </w:rPr>
        <w:t>AdWorks Products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). Accordingly, the parties agree that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 xml:space="preserve">the IO will be also be governed by the terms of this rider modifying the IAB Terms (the </w:t>
      </w:r>
      <w:r>
        <w:rPr>
          <w:color w:val="000000"/>
          <w:sz w:val="22"/>
          <w:szCs w:val="22"/>
        </w:rPr>
        <w:t>“</w:t>
      </w:r>
      <w:r w:rsidRPr="00C21749">
        <w:rPr>
          <w:b/>
          <w:bCs/>
          <w:color w:val="000000"/>
          <w:sz w:val="22"/>
          <w:szCs w:val="22"/>
        </w:rPr>
        <w:t>Rider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</w:t>
      </w:r>
      <w:r w:rsidR="00C166C4">
        <w:rPr>
          <w:color w:val="000000"/>
          <w:sz w:val="22"/>
          <w:szCs w:val="22"/>
        </w:rPr>
        <w:t xml:space="preserve"> and the </w:t>
      </w:r>
      <w:r w:rsidR="00C166C4" w:rsidRPr="00C166C4">
        <w:rPr>
          <w:color w:val="000000"/>
          <w:sz w:val="22"/>
          <w:szCs w:val="22"/>
        </w:rPr>
        <w:t xml:space="preserve">Spectrum Reach Terms and Conditions located at </w:t>
      </w:r>
      <w:r w:rsidR="00AA5BC5">
        <w:rPr>
          <w:color w:val="000000"/>
          <w:sz w:val="22"/>
          <w:szCs w:val="22"/>
        </w:rPr>
        <w:t>spectrumreach.com</w:t>
      </w:r>
      <w:bookmarkStart w:id="0" w:name="_GoBack"/>
      <w:bookmarkEnd w:id="0"/>
      <w:r w:rsidRPr="00C21749">
        <w:rPr>
          <w:color w:val="000000"/>
          <w:sz w:val="22"/>
          <w:szCs w:val="22"/>
        </w:rPr>
        <w:t>. If a capitalized term is used but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not defined in this Rider, the term will have the meaning g</w:t>
      </w:r>
      <w:r w:rsidR="00C166C4">
        <w:rPr>
          <w:color w:val="000000"/>
          <w:sz w:val="22"/>
          <w:szCs w:val="22"/>
        </w:rPr>
        <w:t>iven to it in the IAB Terms. This</w:t>
      </w:r>
      <w:r w:rsidRPr="00C21749">
        <w:rPr>
          <w:color w:val="000000"/>
          <w:sz w:val="22"/>
          <w:szCs w:val="22"/>
        </w:rPr>
        <w:t xml:space="preserve"> Rider </w:t>
      </w:r>
      <w:r w:rsidR="00C166C4">
        <w:rPr>
          <w:color w:val="000000"/>
          <w:sz w:val="22"/>
          <w:szCs w:val="22"/>
        </w:rPr>
        <w:t xml:space="preserve">and the </w:t>
      </w:r>
      <w:r w:rsidR="00C166C4" w:rsidRPr="00C166C4">
        <w:rPr>
          <w:color w:val="000000"/>
          <w:sz w:val="22"/>
          <w:szCs w:val="22"/>
        </w:rPr>
        <w:t xml:space="preserve">Spectrum Reach Terms and Conditions </w:t>
      </w:r>
      <w:r w:rsidRPr="00C21749">
        <w:rPr>
          <w:color w:val="000000"/>
          <w:sz w:val="22"/>
          <w:szCs w:val="22"/>
        </w:rPr>
        <w:t>will govern the parties</w:t>
      </w:r>
      <w:r>
        <w:rPr>
          <w:color w:val="000000"/>
          <w:sz w:val="22"/>
          <w:szCs w:val="22"/>
        </w:rPr>
        <w:t xml:space="preserve">’ </w:t>
      </w:r>
      <w:r w:rsidRPr="00C21749">
        <w:rPr>
          <w:color w:val="000000"/>
          <w:sz w:val="22"/>
          <w:szCs w:val="22"/>
        </w:rPr>
        <w:t>performance under the IO if there is</w:t>
      </w:r>
      <w:r w:rsidR="00C166C4">
        <w:rPr>
          <w:color w:val="000000"/>
          <w:sz w:val="22"/>
          <w:szCs w:val="22"/>
        </w:rPr>
        <w:t xml:space="preserve"> any conflict among the Rider, the </w:t>
      </w:r>
      <w:r w:rsidR="00C166C4" w:rsidRPr="00C166C4">
        <w:rPr>
          <w:color w:val="000000"/>
          <w:sz w:val="22"/>
          <w:szCs w:val="22"/>
        </w:rPr>
        <w:t xml:space="preserve">Spectrum Reach Terms and Conditions </w:t>
      </w:r>
      <w:r w:rsidRPr="00C21749">
        <w:rPr>
          <w:color w:val="000000"/>
          <w:sz w:val="22"/>
          <w:szCs w:val="22"/>
        </w:rPr>
        <w:t>and the IAB Terms.</w:t>
      </w:r>
    </w:p>
    <w:p w14:paraId="024F0F2A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</w:p>
    <w:p w14:paraId="2E055EDA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Online Audience Network</w:t>
      </w:r>
    </w:p>
    <w:p w14:paraId="1F14AB90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 xml:space="preserve">This section only applies to AdWorks Products identified as </w:t>
      </w:r>
      <w:r>
        <w:rPr>
          <w:color w:val="000000"/>
          <w:sz w:val="22"/>
          <w:szCs w:val="22"/>
        </w:rPr>
        <w:t>“</w:t>
      </w:r>
      <w:r w:rsidRPr="00C21749">
        <w:rPr>
          <w:color w:val="000000"/>
          <w:sz w:val="22"/>
          <w:szCs w:val="22"/>
        </w:rPr>
        <w:t>Online Audience Network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 xml:space="preserve"> products in the IO or which involve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serving display inventory that is targeted is based upon user profile data that AT&amp;T AdWorks acquires from local search data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(among other sources) against which AT&amp;T AdWorks will facilitate placement of Ads upon the identified display inventory, and to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 xml:space="preserve">other non-mobile display AdWorks Products (collectively, </w:t>
      </w:r>
      <w:r>
        <w:rPr>
          <w:color w:val="000000"/>
          <w:sz w:val="22"/>
          <w:szCs w:val="22"/>
        </w:rPr>
        <w:t>“</w:t>
      </w:r>
      <w:r w:rsidRPr="00C21749">
        <w:rPr>
          <w:b/>
          <w:bCs/>
          <w:color w:val="000000"/>
          <w:sz w:val="22"/>
          <w:szCs w:val="22"/>
        </w:rPr>
        <w:t>AdWorks Online Audience Network Products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). The IAB Terms are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modified for AdWorks Online Audience Network Products as follows:</w:t>
      </w:r>
    </w:p>
    <w:p w14:paraId="77068009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20DEB" w14:paraId="319181C0" w14:textId="77777777" w:rsidTr="00A943B6">
        <w:tc>
          <w:tcPr>
            <w:tcW w:w="2515" w:type="dxa"/>
          </w:tcPr>
          <w:p w14:paraId="4F6AD979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 xml:space="preserve">IAB TERMS SECTION </w:t>
            </w:r>
          </w:p>
        </w:tc>
        <w:tc>
          <w:tcPr>
            <w:tcW w:w="8275" w:type="dxa"/>
          </w:tcPr>
          <w:p w14:paraId="5125C8B4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MODIFICATION</w:t>
            </w:r>
          </w:p>
        </w:tc>
      </w:tr>
      <w:tr w:rsidR="00620DEB" w14:paraId="6F651BA2" w14:textId="77777777" w:rsidTr="00A943B6">
        <w:tc>
          <w:tcPr>
            <w:tcW w:w="2515" w:type="dxa"/>
          </w:tcPr>
          <w:p w14:paraId="362B6CDB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Ad Materials</w:t>
            </w:r>
          </w:p>
          <w:p w14:paraId="3AFBD9B0" w14:textId="77777777" w:rsidR="00620DEB" w:rsidRPr="00C21749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749">
              <w:rPr>
                <w:i/>
                <w:iCs/>
                <w:color w:val="000000"/>
                <w:sz w:val="22"/>
                <w:szCs w:val="22"/>
              </w:rPr>
              <w:t>Section IX(e)</w:t>
            </w:r>
          </w:p>
          <w:p w14:paraId="6ADAFD64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5" w:type="dxa"/>
          </w:tcPr>
          <w:p w14:paraId="6E37D7F7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Notwithstanding anything to the contrary in Section IX(e) of the IAB Terms, AT&amp;T AdWorks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 xml:space="preserve">reserves the right to place the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Advertising Choices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name, logo and link (or any successor 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replacement name, logo or link) beside or over Ads in accordance with the Digital Advertising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Alliance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 Self-Regulatory Program for</w:t>
            </w:r>
            <w:r>
              <w:rPr>
                <w:color w:val="000000"/>
                <w:sz w:val="22"/>
                <w:szCs w:val="22"/>
              </w:rPr>
              <w:t xml:space="preserve"> Online Behavioral Advertising.</w:t>
            </w:r>
          </w:p>
        </w:tc>
      </w:tr>
    </w:tbl>
    <w:p w14:paraId="14E20E44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3F49F648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Mobile Audience Network</w:t>
      </w:r>
    </w:p>
    <w:p w14:paraId="137A0F1C" w14:textId="77777777" w:rsidR="00620DEB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This section only applies to mobile advertising products, including (but not limited to) mobile display, in-app rich media, video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 xml:space="preserve">(collectively, the </w:t>
      </w:r>
      <w:r>
        <w:rPr>
          <w:color w:val="000000"/>
          <w:sz w:val="22"/>
          <w:szCs w:val="22"/>
        </w:rPr>
        <w:t>“</w:t>
      </w:r>
      <w:r w:rsidRPr="00C21749">
        <w:rPr>
          <w:b/>
          <w:bCs/>
          <w:color w:val="000000"/>
          <w:sz w:val="22"/>
          <w:szCs w:val="22"/>
        </w:rPr>
        <w:t>AdWorks Mobile Audience Network Products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). The IAB Terms are modified for AdWorks Mobile Audience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Network Products as follows:</w:t>
      </w:r>
    </w:p>
    <w:p w14:paraId="4CA26EAD" w14:textId="77777777" w:rsidR="00620DEB" w:rsidRDefault="00620DEB" w:rsidP="00620DEB">
      <w:pPr>
        <w:jc w:val="both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20DEB" w14:paraId="4D10C275" w14:textId="77777777" w:rsidTr="00A943B6">
        <w:tc>
          <w:tcPr>
            <w:tcW w:w="2515" w:type="dxa"/>
          </w:tcPr>
          <w:p w14:paraId="0E7CC3F5" w14:textId="77777777" w:rsidR="00620DEB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 xml:space="preserve">IAB TERMS SECTION </w:t>
            </w:r>
          </w:p>
        </w:tc>
        <w:tc>
          <w:tcPr>
            <w:tcW w:w="8275" w:type="dxa"/>
          </w:tcPr>
          <w:p w14:paraId="63765110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MODIFICATION</w:t>
            </w:r>
          </w:p>
        </w:tc>
      </w:tr>
      <w:tr w:rsidR="00620DEB" w14:paraId="599D446A" w14:textId="77777777" w:rsidTr="00A943B6">
        <w:tc>
          <w:tcPr>
            <w:tcW w:w="2515" w:type="dxa"/>
          </w:tcPr>
          <w:p w14:paraId="1700CEB5" w14:textId="77777777" w:rsidR="00620DEB" w:rsidRPr="00C21749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Editorial Adjacency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Guidelines</w:t>
            </w:r>
          </w:p>
          <w:p w14:paraId="1506C52E" w14:textId="77777777" w:rsidR="00620DEB" w:rsidRPr="00C21749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II(d)</w:t>
            </w:r>
          </w:p>
        </w:tc>
        <w:tc>
          <w:tcPr>
            <w:tcW w:w="8275" w:type="dxa"/>
          </w:tcPr>
          <w:p w14:paraId="3FC73DDE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Due to the nature of the AdWorks Mobile Audience Network Products, AT&amp;T AdWorks is not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able to comply with Editorial Adjacency Guidelines for mobile campaigns. Section II(d) of the IAB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Terms does not apply to AdWorks Mo</w:t>
            </w:r>
            <w:r>
              <w:rPr>
                <w:color w:val="000000"/>
                <w:sz w:val="22"/>
                <w:szCs w:val="22"/>
              </w:rPr>
              <w:t>bile Audience Network Products.</w:t>
            </w:r>
          </w:p>
        </w:tc>
      </w:tr>
      <w:tr w:rsidR="00620DEB" w14:paraId="0484EA2D" w14:textId="77777777" w:rsidTr="00A943B6">
        <w:tc>
          <w:tcPr>
            <w:tcW w:w="2515" w:type="dxa"/>
          </w:tcPr>
          <w:p w14:paraId="01567D63" w14:textId="77777777" w:rsidR="00620DEB" w:rsidRPr="00C21749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AT&amp;T AdWorks Reporting</w:t>
            </w:r>
          </w:p>
          <w:p w14:paraId="6E150180" w14:textId="77777777" w:rsidR="00620DEB" w:rsidRPr="00922774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IV(b)</w:t>
            </w:r>
          </w:p>
        </w:tc>
        <w:tc>
          <w:tcPr>
            <w:tcW w:w="8275" w:type="dxa"/>
          </w:tcPr>
          <w:p w14:paraId="36E770BB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Section IV(b) of the IAB Terms will not apply to AdWorks Mobile Products.</w:t>
            </w:r>
          </w:p>
          <w:p w14:paraId="67DC843B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In the event that Agency or Advertiser provides third party tags that are non-mobile</w:t>
            </w:r>
          </w:p>
          <w:p w14:paraId="11C9C485" w14:textId="77777777" w:rsidR="00620DEB" w:rsidRPr="00922774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supported, AdWorks reported delivery will be used to determine invoice amounts.</w:t>
            </w:r>
          </w:p>
        </w:tc>
      </w:tr>
      <w:tr w:rsidR="00620DEB" w14:paraId="74933AAA" w14:textId="77777777" w:rsidTr="00A943B6">
        <w:tc>
          <w:tcPr>
            <w:tcW w:w="2515" w:type="dxa"/>
          </w:tcPr>
          <w:p w14:paraId="7A187B3D" w14:textId="77777777" w:rsidR="00620DEB" w:rsidRPr="00C21749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Modification of Ad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Materials</w:t>
            </w:r>
          </w:p>
          <w:p w14:paraId="183CCA86" w14:textId="77777777" w:rsidR="00620DEB" w:rsidRPr="00922774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IX(e)</w:t>
            </w:r>
          </w:p>
        </w:tc>
        <w:tc>
          <w:tcPr>
            <w:tcW w:w="8275" w:type="dxa"/>
          </w:tcPr>
          <w:p w14:paraId="6F3237CA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AT&amp;T AdWorks may determine that effective delivery of Ads to a broad range of mobile devices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requires resizing, the use of different compression methods or parameters or making similar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changes to Advertising Materials. Those changes will not result in a breach of Section IX(e) of</w:t>
            </w:r>
            <w:r>
              <w:rPr>
                <w:color w:val="000000"/>
                <w:sz w:val="22"/>
                <w:szCs w:val="22"/>
              </w:rPr>
              <w:t xml:space="preserve"> the IAB Terms.</w:t>
            </w:r>
          </w:p>
        </w:tc>
      </w:tr>
      <w:tr w:rsidR="00620DEB" w14:paraId="4A82A9B1" w14:textId="77777777" w:rsidTr="00A943B6">
        <w:tc>
          <w:tcPr>
            <w:tcW w:w="2515" w:type="dxa"/>
          </w:tcPr>
          <w:p w14:paraId="4F3E7661" w14:textId="77777777" w:rsidR="00620DEB" w:rsidRPr="00C21749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Cost-per-Click Campaigns</w:t>
            </w:r>
          </w:p>
          <w:p w14:paraId="2A50535D" w14:textId="77777777" w:rsidR="00620DEB" w:rsidRPr="00C21749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1749">
              <w:rPr>
                <w:i/>
                <w:iCs/>
                <w:color w:val="000000"/>
                <w:sz w:val="22"/>
                <w:szCs w:val="22"/>
              </w:rPr>
              <w:t>Not Addressed in the IAB</w:t>
            </w:r>
          </w:p>
          <w:p w14:paraId="669ACE61" w14:textId="77777777" w:rsidR="00620DEB" w:rsidRPr="00922774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Terms</w:t>
            </w:r>
          </w:p>
        </w:tc>
        <w:tc>
          <w:tcPr>
            <w:tcW w:w="8275" w:type="dxa"/>
          </w:tcPr>
          <w:p w14:paraId="5BEC56E6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 or Advertiser will provide AdWorks with login access to or daily reporting of</w:t>
            </w:r>
          </w:p>
          <w:p w14:paraId="14CE9278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s/Advertiser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 third party ad serving statistics. If these are not provided, AdWorks will bill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off of its own reporting.</w:t>
            </w:r>
          </w:p>
          <w:p w14:paraId="53D5C20F" w14:textId="77777777" w:rsidR="00620DEB" w:rsidRPr="00922774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Mobile CPC campaigns are cancellable with 14-days prior written notice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0DEB" w14:paraId="3224CD8A" w14:textId="77777777" w:rsidTr="00A943B6">
        <w:tc>
          <w:tcPr>
            <w:tcW w:w="2515" w:type="dxa"/>
          </w:tcPr>
          <w:p w14:paraId="11B4C8E4" w14:textId="77777777" w:rsidR="00620DEB" w:rsidRPr="00C21749" w:rsidRDefault="00620DEB" w:rsidP="00A9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 xml:space="preserve">Compliance with </w:t>
            </w:r>
            <w:r>
              <w:rPr>
                <w:b/>
                <w:bCs/>
                <w:color w:val="000000"/>
                <w:sz w:val="22"/>
                <w:szCs w:val="22"/>
              </w:rPr>
              <w:t>M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obile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Network Specifications</w:t>
            </w:r>
          </w:p>
          <w:p w14:paraId="5F8B8148" w14:textId="77777777" w:rsidR="00620DEB" w:rsidRPr="00C21749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1749">
              <w:rPr>
                <w:i/>
                <w:iCs/>
                <w:color w:val="000000"/>
                <w:sz w:val="22"/>
                <w:szCs w:val="22"/>
              </w:rPr>
              <w:t>Not Addressed in the IAB</w:t>
            </w:r>
          </w:p>
          <w:p w14:paraId="05EB98AD" w14:textId="77777777" w:rsidR="00620DEB" w:rsidRPr="00922774" w:rsidRDefault="00620DEB" w:rsidP="00A943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1749">
              <w:rPr>
                <w:i/>
                <w:iCs/>
                <w:color w:val="000000"/>
                <w:sz w:val="22"/>
                <w:szCs w:val="22"/>
              </w:rPr>
              <w:t>Term</w:t>
            </w:r>
            <w:r>
              <w:rPr>
                <w:i/>
                <w:i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275" w:type="dxa"/>
          </w:tcPr>
          <w:p w14:paraId="3A4CDF71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AdWorks Mobile Audience Network Product campaigns will be subject to any laws, regulations,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specifications or standards applicable to any mobile telecommunications system over which it is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distributed, including those of the wireless carrier of such system, in addition to the applicable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specification</w:t>
            </w:r>
            <w:r>
              <w:rPr>
                <w:color w:val="000000"/>
                <w:sz w:val="22"/>
                <w:szCs w:val="22"/>
              </w:rPr>
              <w:t>s and standards of ATT AdWorks.</w:t>
            </w:r>
          </w:p>
        </w:tc>
      </w:tr>
    </w:tbl>
    <w:p w14:paraId="48EDF8A8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</w:p>
    <w:p w14:paraId="6C69107B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General</w:t>
      </w:r>
    </w:p>
    <w:p w14:paraId="15AA3B84" w14:textId="77777777" w:rsidR="00620DEB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In addition to changes to the IAB Terms for specific products, the following changes apply to all AdWorks Products.</w:t>
      </w:r>
    </w:p>
    <w:p w14:paraId="3EBA021B" w14:textId="77777777" w:rsidR="005C478A" w:rsidRDefault="005C478A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20DEB" w14:paraId="41D1BFD3" w14:textId="77777777" w:rsidTr="00A943B6">
        <w:tc>
          <w:tcPr>
            <w:tcW w:w="2515" w:type="dxa"/>
          </w:tcPr>
          <w:p w14:paraId="00EFA6C5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IAB TERMS SECTION </w:t>
            </w:r>
          </w:p>
        </w:tc>
        <w:tc>
          <w:tcPr>
            <w:tcW w:w="8275" w:type="dxa"/>
          </w:tcPr>
          <w:p w14:paraId="04DD88B2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MODIFICATION</w:t>
            </w:r>
          </w:p>
        </w:tc>
      </w:tr>
      <w:tr w:rsidR="00620DEB" w14:paraId="538C7B5B" w14:textId="77777777" w:rsidTr="00A943B6">
        <w:tc>
          <w:tcPr>
            <w:tcW w:w="2515" w:type="dxa"/>
          </w:tcPr>
          <w:p w14:paraId="26B8D89B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Agency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 xml:space="preserve"> Definition</w:t>
            </w:r>
          </w:p>
        </w:tc>
        <w:tc>
          <w:tcPr>
            <w:tcW w:w="8275" w:type="dxa"/>
          </w:tcPr>
          <w:p w14:paraId="1C5A6975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 xml:space="preserve">If no agency is involved in the IO, then any references to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Agency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in the IAB Terms, this Rider 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 xml:space="preserve">the IO will mean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Advertiser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0DEB" w14:paraId="12FC9A81" w14:textId="77777777" w:rsidTr="00A943B6">
        <w:tc>
          <w:tcPr>
            <w:tcW w:w="2515" w:type="dxa"/>
          </w:tcPr>
          <w:p w14:paraId="4F652155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Media Company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14:paraId="75BC9A75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8275" w:type="dxa"/>
          </w:tcPr>
          <w:p w14:paraId="5F7E7FE0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The IAB Terms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 xml:space="preserve"> definition of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Media Company Properties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is limited to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websites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>. For purposes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 xml:space="preserve">of the IO,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Media Company Properties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also includes mobile websites and other delivery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mechanisms through which Ads or Advertising Materials may be displayed, including SMS/MMS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text messaging and other means of mobile display that are specified on an IO and owned,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operated</w:t>
            </w:r>
            <w:r>
              <w:rPr>
                <w:color w:val="000000"/>
                <w:sz w:val="22"/>
                <w:szCs w:val="22"/>
              </w:rPr>
              <w:t xml:space="preserve"> or controlled by AT&amp;T AdWorks.</w:t>
            </w:r>
          </w:p>
        </w:tc>
      </w:tr>
      <w:tr w:rsidR="00620DEB" w14:paraId="072962FD" w14:textId="77777777" w:rsidTr="00A943B6">
        <w:tc>
          <w:tcPr>
            <w:tcW w:w="2515" w:type="dxa"/>
          </w:tcPr>
          <w:p w14:paraId="7FC01070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C21749">
              <w:rPr>
                <w:b/>
                <w:bCs/>
                <w:color w:val="000000"/>
                <w:sz w:val="22"/>
                <w:szCs w:val="22"/>
              </w:rPr>
              <w:t>Network Properties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14:paraId="0643A721" w14:textId="77777777" w:rsidR="00620DEB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8275" w:type="dxa"/>
          </w:tcPr>
          <w:p w14:paraId="6C6F5C00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The IAB Terms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 xml:space="preserve"> definition of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Network Properties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is also limited to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websites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>. For purposes of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 xml:space="preserve">the IO, 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C21749">
              <w:rPr>
                <w:color w:val="000000"/>
                <w:sz w:val="22"/>
                <w:szCs w:val="22"/>
              </w:rPr>
              <w:t>Network Properties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C21749">
              <w:rPr>
                <w:color w:val="000000"/>
                <w:sz w:val="22"/>
                <w:szCs w:val="22"/>
              </w:rPr>
              <w:t xml:space="preserve"> also includes mobile websites and other delivery mechanisms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through which Ads or Advertising Materials may be displayed, including SMS/MMS text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messaging and other means of mobile display that are specified on an IO and that are not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owned, operated or controlled by AT&amp;T AdWorks, but on which AT&amp;T AdWorks has a contractual</w:t>
            </w:r>
            <w:r>
              <w:rPr>
                <w:color w:val="000000"/>
                <w:sz w:val="22"/>
                <w:szCs w:val="22"/>
              </w:rPr>
              <w:t xml:space="preserve"> right to serve Ads.</w:t>
            </w:r>
          </w:p>
        </w:tc>
      </w:tr>
      <w:tr w:rsidR="00620DEB" w14:paraId="74E716C3" w14:textId="77777777" w:rsidTr="00A943B6">
        <w:tc>
          <w:tcPr>
            <w:tcW w:w="2515" w:type="dxa"/>
          </w:tcPr>
          <w:p w14:paraId="59C74878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AT&amp;T Credit Policies</w:t>
            </w:r>
          </w:p>
          <w:p w14:paraId="4D340526" w14:textId="77777777" w:rsidR="00620DEB" w:rsidRPr="00A244D2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III(c)</w:t>
            </w:r>
          </w:p>
        </w:tc>
        <w:tc>
          <w:tcPr>
            <w:tcW w:w="8275" w:type="dxa"/>
          </w:tcPr>
          <w:p w14:paraId="5FB66FAD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Any credit arrangements reached by the parties under the IO will be subject to review and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approval by AT&amp;T AdWorks. If AT&amp;T AdWorks notifies Agency that AT&amp;T AdWorks will seek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payment directly from Advertiser (as permitted by Section III of the IAB Terms), Agency will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reasonably cooperate with AT&amp;T AdWorks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 xml:space="preserve"> efforts to c</w:t>
            </w:r>
            <w:r>
              <w:rPr>
                <w:color w:val="000000"/>
                <w:sz w:val="22"/>
                <w:szCs w:val="22"/>
              </w:rPr>
              <w:t>ollect payment from Advertiser.</w:t>
            </w:r>
          </w:p>
        </w:tc>
      </w:tr>
      <w:tr w:rsidR="00620DEB" w14:paraId="6F841BCB" w14:textId="77777777" w:rsidTr="00A943B6">
        <w:tc>
          <w:tcPr>
            <w:tcW w:w="2515" w:type="dxa"/>
          </w:tcPr>
          <w:p w14:paraId="60612BA7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Cancellation and</w:t>
            </w:r>
          </w:p>
          <w:p w14:paraId="0AD48667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Termination</w:t>
            </w:r>
          </w:p>
          <w:p w14:paraId="1634E401" w14:textId="77777777" w:rsidR="00620DEB" w:rsidRPr="00A244D2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V</w:t>
            </w:r>
          </w:p>
        </w:tc>
        <w:tc>
          <w:tcPr>
            <w:tcW w:w="8275" w:type="dxa"/>
          </w:tcPr>
          <w:p w14:paraId="061BB1E4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AT&amp;T AdWorks or its Representative may terminate an IO, or a portion thereof: (i) upon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fourteen (14) days prior written notice to Advertiser or the Agency if the IO violates the Policies,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or (ii) in the event of breach of contract by AT&amp;T AdWorks, its Representative or Advertiser that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is not cured within thirty (30) days of notice of such breach, or (iii) if AT&amp;T AdWorks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Representative or Advertiser violates the same Policy three times and has received timely notice</w:t>
            </w:r>
            <w:r>
              <w:rPr>
                <w:color w:val="000000"/>
                <w:sz w:val="22"/>
                <w:szCs w:val="22"/>
              </w:rPr>
              <w:t xml:space="preserve"> of such violations.</w:t>
            </w:r>
          </w:p>
        </w:tc>
      </w:tr>
      <w:tr w:rsidR="00620DEB" w14:paraId="3EA7DF5C" w14:textId="77777777" w:rsidTr="00A943B6">
        <w:tc>
          <w:tcPr>
            <w:tcW w:w="2515" w:type="dxa"/>
          </w:tcPr>
          <w:p w14:paraId="3A2B1BC7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Data Collection &amp; Usage</w:t>
            </w:r>
          </w:p>
          <w:p w14:paraId="22D583D3" w14:textId="77777777" w:rsidR="00620DEB" w:rsidRPr="00A244D2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XII</w:t>
            </w:r>
          </w:p>
        </w:tc>
        <w:tc>
          <w:tcPr>
            <w:tcW w:w="8275" w:type="dxa"/>
          </w:tcPr>
          <w:p w14:paraId="742F0A05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 and Advertiser each certify that any consumer / end-user data or information gathered,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obtained or derived in connection with the use of any third party ad server will be used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exclusively for the purpose of validating the fulfillment of the advertising subject to an IO and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will not be retained any longer than absolutely necessary for that purpose.</w:t>
            </w:r>
          </w:p>
          <w:p w14:paraId="4BA04FE3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With regard to any request for User Volunteered Data, Agency and Advertiser agree that:</w:t>
            </w:r>
          </w:p>
          <w:p w14:paraId="60258ADC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the request for User Volunteered Data must be made in clear, easy-to-understand language,</w:t>
            </w:r>
          </w:p>
          <w:p w14:paraId="1B4CFA22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Agency/Advertiser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 proposed use of that information must be transparent and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disclosed to the end user, and the actual use of that information must be consistent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with the disclosed use.</w:t>
            </w:r>
          </w:p>
          <w:p w14:paraId="7324A684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the end user must consent to AT&amp;T sharing that information with Agency/Advertiser</w:t>
            </w:r>
          </w:p>
          <w:p w14:paraId="601510AF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 and Advertiser may not share User Volunteered Data provided by AT&amp;T to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Agency/Advertiser or collected directly by Advertiser</w:t>
            </w:r>
            <w:r>
              <w:rPr>
                <w:color w:val="000000"/>
                <w:sz w:val="22"/>
                <w:szCs w:val="22"/>
              </w:rPr>
              <w:t xml:space="preserve"> from end users through the use </w:t>
            </w:r>
            <w:r w:rsidRPr="00C21749">
              <w:rPr>
                <w:color w:val="000000"/>
                <w:sz w:val="22"/>
                <w:szCs w:val="22"/>
              </w:rPr>
              <w:t>AT&amp;T AdWorks Products with any third party for any use other than the stated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purpose.</w:t>
            </w:r>
          </w:p>
          <w:p w14:paraId="232DF7CC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Agency/Advertiser will implement all necessary security measures to protect the confidentiality privacy and integrity of User Volunteered Data obtained in connection with AT&amp;T AdWorks Products and to be in compliance with all applicable government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and industry mandated and accepted information security standards.</w:t>
            </w:r>
          </w:p>
          <w:p w14:paraId="35880801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Agency/Advertiser agrees that collection and use for all User Volunteered Data from end users of the AT&amp;T AdWorks Products will comply with all applicable Laws, Including the Children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E5069F">
              <w:rPr>
                <w:color w:val="000000"/>
                <w:sz w:val="22"/>
                <w:szCs w:val="22"/>
              </w:rPr>
              <w:t>s Online Privacy Protection Act (COPPA), as well as the terms of Agency/Advertiser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E5069F">
              <w:rPr>
                <w:color w:val="000000"/>
                <w:sz w:val="22"/>
                <w:szCs w:val="22"/>
              </w:rPr>
              <w:t>s own privacy policy. In the event of any conflict between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Agency/Advertiser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E5069F">
              <w:rPr>
                <w:color w:val="000000"/>
                <w:sz w:val="22"/>
                <w:szCs w:val="22"/>
              </w:rPr>
              <w:t xml:space="preserve">s privacy policy and these Terms, these Terms </w:t>
            </w:r>
            <w:r>
              <w:rPr>
                <w:color w:val="000000"/>
                <w:sz w:val="22"/>
                <w:szCs w:val="22"/>
              </w:rPr>
              <w:t>will</w:t>
            </w:r>
            <w:r w:rsidRPr="00E5069F">
              <w:rPr>
                <w:color w:val="000000"/>
                <w:sz w:val="22"/>
                <w:szCs w:val="22"/>
              </w:rPr>
              <w:t xml:space="preserve"> control.</w:t>
            </w:r>
          </w:p>
        </w:tc>
      </w:tr>
      <w:tr w:rsidR="00620DEB" w14:paraId="1F9EEBA5" w14:textId="77777777" w:rsidTr="00A943B6">
        <w:tc>
          <w:tcPr>
            <w:tcW w:w="2515" w:type="dxa"/>
          </w:tcPr>
          <w:p w14:paraId="4930B3D3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Necessary Rights</w:t>
            </w:r>
          </w:p>
          <w:p w14:paraId="6C6F729A" w14:textId="77777777" w:rsidR="00620DEB" w:rsidRPr="00E5069F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XIV(a)</w:t>
            </w:r>
          </w:p>
        </w:tc>
        <w:tc>
          <w:tcPr>
            <w:tcW w:w="8275" w:type="dxa"/>
          </w:tcPr>
          <w:p w14:paraId="0A8C6CB1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 Necessary Rights:</w:t>
            </w:r>
          </w:p>
          <w:p w14:paraId="483287C2" w14:textId="77777777" w:rsidR="00620DEB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8F05ED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In addition to the representations set forth in the IAB, Advertiser represents that it has the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necessary rights to provide all Ads and Advertising Materials speci</w:t>
            </w:r>
            <w:r>
              <w:rPr>
                <w:color w:val="000000"/>
                <w:sz w:val="22"/>
                <w:szCs w:val="22"/>
              </w:rPr>
              <w:t xml:space="preserve">fied under the IO, and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that all </w:t>
            </w:r>
            <w:r w:rsidRPr="00C21749">
              <w:rPr>
                <w:color w:val="000000"/>
                <w:sz w:val="22"/>
                <w:szCs w:val="22"/>
              </w:rPr>
              <w:t>information, content and materials, as well as all claims, statements, products and services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contained or referenced therein and on any Advertiser-owned site to which the AdWorks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products link:</w:t>
            </w:r>
          </w:p>
          <w:p w14:paraId="6AE336E0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are not false, deceptive, misleading, fraudulent, defamatory or threatening and are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not likely to result in harm of any kind to any third party;</w:t>
            </w:r>
          </w:p>
          <w:p w14:paraId="29BD3127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will be free of viruses, Trojan horses, trap doors, back doors, Easter eggs, worms, time bombs, or other computer programming routines that may potentially damage,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interfere with, intercept, or expropriate any system data or personal information; and</w:t>
            </w:r>
          </w:p>
          <w:p w14:paraId="5A136FB8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will not contain any content of an adult or obscene nature.</w:t>
            </w:r>
          </w:p>
          <w:p w14:paraId="36B1DBC8" w14:textId="77777777" w:rsidR="00620DEB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0495DBF" w14:textId="77777777" w:rsidR="00620DEB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Media Company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>s Necessary Rights:</w:t>
            </w:r>
          </w:p>
          <w:p w14:paraId="799E5D46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B6D2E0E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In addition to the representations set forth in the IAB, Media Company represents that they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 xml:space="preserve">have all necessary rights, user consent, permits and licenses </w:t>
            </w:r>
            <w:r>
              <w:rPr>
                <w:color w:val="000000"/>
                <w:sz w:val="22"/>
                <w:szCs w:val="22"/>
              </w:rPr>
              <w:t xml:space="preserve">to provide all AdWorks Products </w:t>
            </w:r>
            <w:r w:rsidRPr="00C21749">
              <w:rPr>
                <w:color w:val="000000"/>
                <w:sz w:val="22"/>
                <w:szCs w:val="22"/>
              </w:rPr>
              <w:t>and any additional Deliverables, information or services specified under the IO:</w:t>
            </w:r>
          </w:p>
          <w:p w14:paraId="368CB105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are not false, deceptive, misleading, fraudulent, defamatory or threatening and are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not likely to result in harm of any kind to any third party;</w:t>
            </w:r>
          </w:p>
          <w:p w14:paraId="4E6FCFCD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will be free of viruses, Trojan horses, trap doors, back doors, Easter eggs, worms, time bombs, or other computer programming routines that may potentially damage,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interfere with, intercept, or expropriate any system data or personal information; and</w:t>
            </w:r>
          </w:p>
          <w:p w14:paraId="3283D426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will not contain any content of an adult or obscene nature.</w:t>
            </w:r>
          </w:p>
          <w:p w14:paraId="066E8622" w14:textId="77777777" w:rsidR="00620DEB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91C6F09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Neither Advertiser nor Media Company will, or will allow anyone working for them to:</w:t>
            </w:r>
          </w:p>
          <w:p w14:paraId="32DC9E50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engage or cause others to engage in any form of spamming or improper, fraudulent 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malicious clicking, impressions or marketing activities; or</w:t>
            </w:r>
          </w:p>
          <w:p w14:paraId="54B22812" w14:textId="77777777" w:rsidR="00620DEB" w:rsidRPr="00E5069F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interfere or attempt to interfere with the proper working of any other party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E5069F">
              <w:rPr>
                <w:color w:val="000000"/>
                <w:sz w:val="22"/>
                <w:szCs w:val="22"/>
              </w:rPr>
              <w:t>s network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or systems or any campaign.</w:t>
            </w:r>
          </w:p>
          <w:p w14:paraId="51B81F8B" w14:textId="77777777" w:rsidR="00620DEB" w:rsidRPr="00C21749" w:rsidRDefault="00620DEB" w:rsidP="00A943B6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E5069F">
              <w:rPr>
                <w:color w:val="000000"/>
                <w:sz w:val="22"/>
                <w:szCs w:val="22"/>
              </w:rPr>
              <w:t>Advertiser will not use any data from any AT&amp;T AdWorks network or systems (excluding any data that Advertiser acquires from users on Advertiser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E5069F">
              <w:rPr>
                <w:color w:val="000000"/>
                <w:sz w:val="22"/>
                <w:szCs w:val="22"/>
              </w:rPr>
              <w:t>s own website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69F">
              <w:rPr>
                <w:color w:val="000000"/>
                <w:sz w:val="22"/>
                <w:szCs w:val="22"/>
              </w:rPr>
              <w:t>or through rich media ads) for external commercial purposes without the prior written</w:t>
            </w:r>
            <w:r>
              <w:rPr>
                <w:color w:val="000000"/>
                <w:sz w:val="22"/>
                <w:szCs w:val="22"/>
              </w:rPr>
              <w:t xml:space="preserve"> permission of AT&amp;T AdWorks.</w:t>
            </w:r>
          </w:p>
        </w:tc>
      </w:tr>
      <w:tr w:rsidR="00620DEB" w14:paraId="4965E634" w14:textId="77777777" w:rsidTr="00A943B6">
        <w:tc>
          <w:tcPr>
            <w:tcW w:w="2515" w:type="dxa"/>
          </w:tcPr>
          <w:p w14:paraId="2EC2CBBF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lastRenderedPageBreak/>
              <w:t>Intellectual Property</w:t>
            </w:r>
          </w:p>
          <w:p w14:paraId="020F17B6" w14:textId="77777777" w:rsidR="00620DEB" w:rsidRPr="00C21749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21749">
              <w:rPr>
                <w:i/>
                <w:iCs/>
                <w:color w:val="000000"/>
                <w:sz w:val="22"/>
                <w:szCs w:val="22"/>
              </w:rPr>
              <w:t>Not Addressed in the IAB</w:t>
            </w:r>
          </w:p>
          <w:p w14:paraId="180D52DF" w14:textId="77777777" w:rsidR="00620DEB" w:rsidRPr="00E5069F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Terms</w:t>
            </w:r>
          </w:p>
        </w:tc>
        <w:tc>
          <w:tcPr>
            <w:tcW w:w="8275" w:type="dxa"/>
          </w:tcPr>
          <w:p w14:paraId="5230FFDE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AT&amp;T AdWorks will retain sole ownership of all intellectual property associated with the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AdWorks Products, any data used by AT&amp;T AdWorks to provide the AdWorks Products and any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other services or products provided by AT&amp;T AdWorks or its vendors in connection with the IO.</w:t>
            </w:r>
          </w:p>
          <w:p w14:paraId="3CD4C3BC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Agency and Advertiser will each retain all rights to their own intellectual property (including the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Ads), but they will not obtain any right or license to the underlying technology, processes 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systems by reason of the IO or receip</w:t>
            </w:r>
            <w:r>
              <w:rPr>
                <w:color w:val="000000"/>
                <w:sz w:val="22"/>
                <w:szCs w:val="22"/>
              </w:rPr>
              <w:t>t or use of AdWorks Products.</w:t>
            </w:r>
          </w:p>
        </w:tc>
      </w:tr>
      <w:tr w:rsidR="00620DEB" w14:paraId="0831E1F6" w14:textId="77777777" w:rsidTr="00A943B6">
        <w:tc>
          <w:tcPr>
            <w:tcW w:w="2515" w:type="dxa"/>
          </w:tcPr>
          <w:p w14:paraId="653D29BC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Subcontracting and</w:t>
            </w:r>
          </w:p>
          <w:p w14:paraId="7677111F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Assignment</w:t>
            </w:r>
          </w:p>
          <w:p w14:paraId="50D8CDD1" w14:textId="77777777" w:rsidR="00620DEB" w:rsidRPr="00E5069F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XIV(b)</w:t>
            </w:r>
          </w:p>
        </w:tc>
        <w:tc>
          <w:tcPr>
            <w:tcW w:w="8275" w:type="dxa"/>
          </w:tcPr>
          <w:p w14:paraId="285CB8FF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AT&amp;T AdWorks may work with other AT&amp;T companies to deliver the AdWorks Products. AT&amp;T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AdWorks will have the right to subcontract its obligations under the IO or to assign or transfer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the IO (or any of AT&amp;T AdWorks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C21749">
              <w:rPr>
                <w:color w:val="000000"/>
                <w:sz w:val="22"/>
                <w:szCs w:val="22"/>
              </w:rPr>
              <w:t xml:space="preserve"> rights, obligations or duties under the IO) to a parent,</w:t>
            </w:r>
            <w:r>
              <w:rPr>
                <w:color w:val="000000"/>
                <w:sz w:val="22"/>
                <w:szCs w:val="22"/>
              </w:rPr>
              <w:t xml:space="preserve"> subsidiary or affiliate.</w:t>
            </w:r>
          </w:p>
        </w:tc>
      </w:tr>
      <w:tr w:rsidR="00620DEB" w14:paraId="6138BF03" w14:textId="77777777" w:rsidTr="00A943B6">
        <w:tc>
          <w:tcPr>
            <w:tcW w:w="2515" w:type="dxa"/>
          </w:tcPr>
          <w:p w14:paraId="7CB64D3D" w14:textId="77777777" w:rsidR="00620DEB" w:rsidRPr="00C21749" w:rsidRDefault="00620DEB" w:rsidP="00A94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1749">
              <w:rPr>
                <w:b/>
                <w:bCs/>
                <w:color w:val="000000"/>
                <w:sz w:val="22"/>
                <w:szCs w:val="22"/>
              </w:rPr>
              <w:t>Governing Law</w:t>
            </w:r>
          </w:p>
          <w:p w14:paraId="78BE2A2C" w14:textId="77777777" w:rsidR="00620DEB" w:rsidRPr="00E5069F" w:rsidRDefault="00620DEB" w:rsidP="00A943B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Section XIV(d)</w:t>
            </w:r>
          </w:p>
        </w:tc>
        <w:tc>
          <w:tcPr>
            <w:tcW w:w="8275" w:type="dxa"/>
          </w:tcPr>
          <w:p w14:paraId="3264D47E" w14:textId="77777777" w:rsidR="00620DEB" w:rsidRPr="00C21749" w:rsidRDefault="00620DEB" w:rsidP="00A943B6">
            <w:pPr>
              <w:jc w:val="both"/>
              <w:rPr>
                <w:color w:val="000000"/>
                <w:sz w:val="22"/>
                <w:szCs w:val="22"/>
              </w:rPr>
            </w:pPr>
            <w:r w:rsidRPr="00C21749">
              <w:rPr>
                <w:color w:val="000000"/>
                <w:sz w:val="22"/>
                <w:szCs w:val="22"/>
              </w:rPr>
              <w:t>New York law applies, and any claims, legal proceedings or litigation will be brought solely 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1749">
              <w:rPr>
                <w:color w:val="000000"/>
                <w:sz w:val="22"/>
                <w:szCs w:val="22"/>
              </w:rPr>
              <w:t>New York County</w:t>
            </w:r>
            <w:r>
              <w:rPr>
                <w:color w:val="000000"/>
                <w:sz w:val="22"/>
                <w:szCs w:val="22"/>
              </w:rPr>
              <w:t>, New York.</w:t>
            </w:r>
          </w:p>
        </w:tc>
      </w:tr>
    </w:tbl>
    <w:p w14:paraId="5904BCBE" w14:textId="77777777" w:rsidR="00620DEB" w:rsidRPr="00C21749" w:rsidRDefault="00620DEB" w:rsidP="00620DEB">
      <w:pPr>
        <w:rPr>
          <w:color w:val="000000"/>
          <w:sz w:val="22"/>
          <w:szCs w:val="22"/>
        </w:rPr>
      </w:pPr>
    </w:p>
    <w:p w14:paraId="25C99905" w14:textId="77777777" w:rsidR="00620DEB" w:rsidRPr="00C21749" w:rsidRDefault="00620DEB" w:rsidP="00620DEB">
      <w:pPr>
        <w:jc w:val="center"/>
        <w:rPr>
          <w:color w:val="000000"/>
          <w:sz w:val="22"/>
          <w:szCs w:val="22"/>
        </w:rPr>
      </w:pPr>
    </w:p>
    <w:p w14:paraId="4200200B" w14:textId="77777777" w:rsidR="00620DEB" w:rsidRPr="00C21749" w:rsidRDefault="00620DEB" w:rsidP="00620DEB">
      <w:pPr>
        <w:rPr>
          <w:b/>
          <w:bCs/>
          <w:color w:val="E46D0A"/>
          <w:sz w:val="22"/>
          <w:szCs w:val="22"/>
        </w:rPr>
      </w:pPr>
      <w:r w:rsidRPr="00C21749">
        <w:rPr>
          <w:b/>
          <w:bCs/>
          <w:color w:val="E46D0A"/>
          <w:sz w:val="22"/>
          <w:szCs w:val="22"/>
        </w:rPr>
        <w:t>AT&amp;T ADWORKS ADVERTISING GUIDELINES</w:t>
      </w:r>
    </w:p>
    <w:p w14:paraId="19DA2DED" w14:textId="77777777" w:rsidR="00620DEB" w:rsidRDefault="00620DEB" w:rsidP="00620DEB">
      <w:pPr>
        <w:rPr>
          <w:b/>
          <w:bCs/>
          <w:color w:val="000000"/>
          <w:sz w:val="22"/>
          <w:szCs w:val="22"/>
        </w:rPr>
      </w:pPr>
    </w:p>
    <w:p w14:paraId="62208E19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Advertising may not contain any material that falls into the following categories or that links to such material:</w:t>
      </w:r>
    </w:p>
    <w:p w14:paraId="15F84D58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Anything that is obscene or indecent or that contains strong sexual, explicit or erotic themes; or</w:t>
      </w:r>
    </w:p>
    <w:p w14:paraId="71BBF0E6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or sites depicting or providing how-to materials about ped</w:t>
      </w:r>
      <w:r>
        <w:rPr>
          <w:color w:val="000000"/>
          <w:sz w:val="22"/>
          <w:szCs w:val="22"/>
        </w:rPr>
        <w:t xml:space="preserve">ophilia or other non-consensual </w:t>
      </w:r>
      <w:r w:rsidRPr="00C21749">
        <w:rPr>
          <w:color w:val="000000"/>
          <w:sz w:val="22"/>
          <w:szCs w:val="22"/>
        </w:rPr>
        <w:t>contact; or Products or sites that suggest the availability of prostitution services; or</w:t>
      </w:r>
    </w:p>
    <w:p w14:paraId="52158FC7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lastRenderedPageBreak/>
        <w:t>Products or sites that advocate, glorify or promote rape, torture, cannibalism, suffering or death; or</w:t>
      </w:r>
    </w:p>
    <w:p w14:paraId="2039B89C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that descramble cable or satellite signals in order to get free services; or</w:t>
      </w:r>
    </w:p>
    <w:p w14:paraId="616C010D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that promote software or techniques that bypass copyright protections; or</w:t>
      </w:r>
    </w:p>
    <w:p w14:paraId="07713B66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Counterfeit, fake or bootleg products or replicas or imitations of designer products; or</w:t>
      </w:r>
    </w:p>
    <w:p w14:paraId="1E006C35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Promotes nudity, nude beaches or naked cruises or resorts; or</w:t>
      </w:r>
    </w:p>
    <w:p w14:paraId="1143F0EB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or sites that appear to facilitate or promote the evasion of laws (e.g., radar detectors, etc.); or</w:t>
      </w:r>
    </w:p>
    <w:p w14:paraId="767E1BAB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or sites that offer fake identification or falsified documentation; or</w:t>
      </w:r>
    </w:p>
    <w:p w14:paraId="5EF86714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Promotes the sale of firearms or ammunition by mail order; or</w:t>
      </w:r>
    </w:p>
    <w:p w14:paraId="7A97631F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or sites that have online gambling as a central theme; or</w:t>
      </w:r>
    </w:p>
    <w:p w14:paraId="1CC29BF1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Promotes services, contests or games that predict winners of races or sporting events; or</w:t>
      </w:r>
    </w:p>
    <w:p w14:paraId="70E533CE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Trivializes historic events such as the Holocaust, the Irish Famine or September 11th; or</w:t>
      </w:r>
    </w:p>
    <w:p w14:paraId="24015C13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Multilevel marketing schemes; or</w:t>
      </w:r>
    </w:p>
    <w:p w14:paraId="633610A7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or sites of questionable legality (e.g., miracle cures, etc.); or</w:t>
      </w:r>
    </w:p>
    <w:p w14:paraId="2C29C903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Hate speech; or</w:t>
      </w:r>
    </w:p>
    <w:p w14:paraId="5A11329C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Excessive violence; or</w:t>
      </w:r>
    </w:p>
    <w:p w14:paraId="60CF5F30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Defamatory, libelous or threatening sites; or</w:t>
      </w:r>
    </w:p>
    <w:p w14:paraId="0E83B072" w14:textId="77777777" w:rsidR="00620DEB" w:rsidRPr="00E5069F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Extreme profanity; or depicts, promotes or is designed to facilitate alcohol abuse, illegal drug use or use of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tobacco product</w:t>
      </w:r>
    </w:p>
    <w:p w14:paraId="6D14D07D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528F4BC3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Alcohol Advertising Guidelines</w:t>
      </w:r>
    </w:p>
    <w:p w14:paraId="5E5A5786" w14:textId="77777777" w:rsidR="00620DEB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These AT&amp;T AdWorks Alcohol Advertising Guidelines (</w:t>
      </w:r>
      <w:r>
        <w:rPr>
          <w:color w:val="000000"/>
          <w:sz w:val="22"/>
          <w:szCs w:val="22"/>
        </w:rPr>
        <w:t>“</w:t>
      </w:r>
      <w:r w:rsidRPr="00C21749">
        <w:rPr>
          <w:color w:val="000000"/>
          <w:sz w:val="22"/>
          <w:szCs w:val="22"/>
        </w:rPr>
        <w:t>Guidelines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>) apply to the sale of advertising for alcoholic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beverage brands. All advertisements must comply in all respects with these Guidelines.</w:t>
      </w:r>
    </w:p>
    <w:p w14:paraId="4ADC87CC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</w:p>
    <w:p w14:paraId="095267F7" w14:textId="77777777" w:rsidR="00620DEB" w:rsidRPr="00E5069F" w:rsidRDefault="00620DEB" w:rsidP="00620DEB">
      <w:pPr>
        <w:jc w:val="both"/>
        <w:rPr>
          <w:bCs/>
          <w:color w:val="000000"/>
          <w:sz w:val="22"/>
          <w:szCs w:val="22"/>
        </w:rPr>
      </w:pPr>
      <w:r w:rsidRPr="00E5069F">
        <w:rPr>
          <w:bCs/>
          <w:color w:val="000000"/>
          <w:sz w:val="22"/>
          <w:szCs w:val="22"/>
        </w:rPr>
        <w:t>Acceptable Ads:</w:t>
      </w:r>
    </w:p>
    <w:p w14:paraId="396B33D1" w14:textId="77777777" w:rsidR="00620DEB" w:rsidRPr="00E5069F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Alcohol advertisements may be permitted with AT&amp;T AdWorks</w:t>
      </w:r>
      <w:r>
        <w:rPr>
          <w:color w:val="000000"/>
          <w:sz w:val="22"/>
          <w:szCs w:val="22"/>
        </w:rPr>
        <w:t>’</w:t>
      </w:r>
      <w:r w:rsidRPr="00C21749">
        <w:rPr>
          <w:color w:val="000000"/>
          <w:sz w:val="22"/>
          <w:szCs w:val="22"/>
        </w:rPr>
        <w:t xml:space="preserve"> prior written permission, and then only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when directed to an audience over the age of 21.</w:t>
      </w:r>
    </w:p>
    <w:p w14:paraId="60AF9E88" w14:textId="77777777" w:rsidR="00620DEB" w:rsidRPr="00C21749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Advertising Materials must be approved in writing.</w:t>
      </w:r>
    </w:p>
    <w:p w14:paraId="4C61BDCB" w14:textId="77777777" w:rsidR="00620DEB" w:rsidRPr="00E5069F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 xml:space="preserve">Media placement must pass the </w:t>
      </w:r>
      <w:r>
        <w:rPr>
          <w:color w:val="000000"/>
          <w:sz w:val="22"/>
          <w:szCs w:val="22"/>
        </w:rPr>
        <w:t>“</w:t>
      </w:r>
      <w:r w:rsidRPr="00E5069F">
        <w:rPr>
          <w:color w:val="000000"/>
          <w:sz w:val="22"/>
          <w:szCs w:val="22"/>
        </w:rPr>
        <w:t>70% LPA Standard.</w:t>
      </w:r>
      <w:r>
        <w:rPr>
          <w:color w:val="000000"/>
          <w:sz w:val="22"/>
          <w:szCs w:val="22"/>
        </w:rPr>
        <w:t>”</w:t>
      </w:r>
      <w:r w:rsidRPr="00E5069F">
        <w:rPr>
          <w:color w:val="000000"/>
          <w:sz w:val="22"/>
          <w:szCs w:val="22"/>
        </w:rPr>
        <w:t xml:space="preserve"> Advertising and marketing should be placed only where at least 70 percent of the audience is reasonably expected to be above the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legal purchase age (LPA), which in the United States is 21 years of age.</w:t>
      </w:r>
    </w:p>
    <w:p w14:paraId="5CBAEE49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0A5442AF" w14:textId="77777777" w:rsidR="00620DEB" w:rsidRPr="00C21749" w:rsidRDefault="00620DEB" w:rsidP="00620DEB">
      <w:pPr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Competitive Advertising Guidelines</w:t>
      </w:r>
    </w:p>
    <w:p w14:paraId="5D8EF715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With respect to direct competitors of AT&amp;T, all advertisements will be evaluated on a case-by-case basis. AT&amp;T</w:t>
      </w:r>
      <w:r>
        <w:rPr>
          <w:color w:val="000000"/>
          <w:sz w:val="22"/>
          <w:szCs w:val="22"/>
        </w:rPr>
        <w:t>’</w:t>
      </w:r>
      <w:r w:rsidRPr="00C2174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display advertising products are utilizing highly targeted AT&amp;T customer behavior to drive performance through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owned &amp; operated as well as 3rd party inventory. That said the key rules, with respect to the Competitive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Advertising Guidelines, that apply to our display products are as follows:</w:t>
      </w:r>
    </w:p>
    <w:p w14:paraId="50A9D3B8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1E2C13AF" w14:textId="77777777" w:rsidR="00620DEB" w:rsidRPr="00E5069F" w:rsidRDefault="00620DEB" w:rsidP="00620DEB">
      <w:pPr>
        <w:jc w:val="both"/>
        <w:rPr>
          <w:bCs/>
          <w:color w:val="000000"/>
          <w:sz w:val="22"/>
          <w:szCs w:val="22"/>
        </w:rPr>
      </w:pPr>
      <w:r w:rsidRPr="00E5069F">
        <w:rPr>
          <w:bCs/>
          <w:color w:val="000000"/>
          <w:sz w:val="22"/>
          <w:szCs w:val="22"/>
        </w:rPr>
        <w:t>Acceptable Ads:</w:t>
      </w:r>
    </w:p>
    <w:p w14:paraId="1BFBF240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that are not in direct competition with AT&amp;T are allowed regardless of geography or customer.</w:t>
      </w:r>
    </w:p>
    <w:p w14:paraId="2B893447" w14:textId="77777777" w:rsidR="00620DEB" w:rsidRPr="00E5069F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>i.e. Mobile banner ads for Google Chrome are allowed as AT&amp;T is not currently offering a web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browser</w:t>
      </w:r>
    </w:p>
    <w:p w14:paraId="49A75605" w14:textId="77777777" w:rsidR="00620DEB" w:rsidRPr="00E5069F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that are competitive in nature but reside outside of our operating geography are allowed.</w:t>
      </w:r>
    </w:p>
    <w:p w14:paraId="339BC992" w14:textId="77777777" w:rsidR="00620DEB" w:rsidRPr="00E5069F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>i.e. Search extension campaigns promoting cable or satellite service outside of the U-verse 22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state footprint are allowed</w:t>
      </w:r>
    </w:p>
    <w:p w14:paraId="7A90B203" w14:textId="77777777" w:rsidR="00620DEB" w:rsidRPr="00E5069F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>i.e. In the case of a partial overlap of a competitors footprint, ads can be run so long as only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DMA</w:t>
      </w:r>
      <w:r>
        <w:rPr>
          <w:color w:val="000000"/>
          <w:sz w:val="22"/>
          <w:szCs w:val="22"/>
        </w:rPr>
        <w:t>’</w:t>
      </w:r>
      <w:r w:rsidRPr="00E5069F">
        <w:rPr>
          <w:color w:val="000000"/>
          <w:sz w:val="22"/>
          <w:szCs w:val="22"/>
        </w:rPr>
        <w:t>s where there is no overlap are targeted.</w:t>
      </w:r>
    </w:p>
    <w:p w14:paraId="1C0A2457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4C20CBD6" w14:textId="77777777" w:rsidR="00620DEB" w:rsidRPr="00E5069F" w:rsidRDefault="00620DEB" w:rsidP="00620DEB">
      <w:pPr>
        <w:jc w:val="both"/>
        <w:rPr>
          <w:bCs/>
          <w:color w:val="000000"/>
          <w:sz w:val="22"/>
          <w:szCs w:val="22"/>
        </w:rPr>
      </w:pPr>
      <w:r w:rsidRPr="00E5069F">
        <w:rPr>
          <w:bCs/>
          <w:color w:val="000000"/>
          <w:sz w:val="22"/>
          <w:szCs w:val="22"/>
        </w:rPr>
        <w:t>Not Acceptable:</w:t>
      </w:r>
    </w:p>
    <w:p w14:paraId="2138AD5B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Products in direct competition with AT&amp;T within our geography will not be allowed</w:t>
      </w:r>
    </w:p>
    <w:p w14:paraId="165F4305" w14:textId="77777777" w:rsidR="00620DEB" w:rsidRPr="00E5069F" w:rsidRDefault="00620DEB" w:rsidP="00620DEB">
      <w:pPr>
        <w:pStyle w:val="ListParagraph"/>
        <w:numPr>
          <w:ilvl w:val="1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>i.e. Verizon iPhone television spots will not be allowed as we compete for mobile subscribers in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all 50 states</w:t>
      </w:r>
    </w:p>
    <w:p w14:paraId="5F9ACAD1" w14:textId="77777777" w:rsidR="00620DEB" w:rsidRPr="00E5069F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E5069F">
        <w:rPr>
          <w:color w:val="000000"/>
          <w:sz w:val="22"/>
          <w:szCs w:val="22"/>
        </w:rPr>
        <w:t>Conquesting or utilizing key data associated with one specific brand to promote another will not be</w:t>
      </w:r>
      <w:r>
        <w:rPr>
          <w:color w:val="000000"/>
          <w:sz w:val="22"/>
          <w:szCs w:val="22"/>
        </w:rPr>
        <w:t xml:space="preserve"> </w:t>
      </w:r>
      <w:r w:rsidRPr="00E5069F">
        <w:rPr>
          <w:color w:val="000000"/>
          <w:sz w:val="22"/>
          <w:szCs w:val="22"/>
        </w:rPr>
        <w:t>permitted. Data from key brands will be combined with other data to form broader categories.</w:t>
      </w:r>
    </w:p>
    <w:p w14:paraId="50639003" w14:textId="77777777" w:rsidR="00620DEB" w:rsidRDefault="00620DEB" w:rsidP="00620DEB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1698A5FF" w14:textId="77777777" w:rsidR="00620DEB" w:rsidRPr="00C21749" w:rsidRDefault="00620DEB" w:rsidP="00620DEB">
      <w:pPr>
        <w:jc w:val="both"/>
        <w:rPr>
          <w:i/>
          <w:iCs/>
          <w:color w:val="000000"/>
          <w:sz w:val="22"/>
          <w:szCs w:val="22"/>
        </w:rPr>
      </w:pPr>
      <w:r w:rsidRPr="00C21749">
        <w:rPr>
          <w:b/>
          <w:bCs/>
          <w:i/>
          <w:iCs/>
          <w:color w:val="000000"/>
          <w:sz w:val="22"/>
          <w:szCs w:val="22"/>
        </w:rPr>
        <w:lastRenderedPageBreak/>
        <w:t xml:space="preserve">NOTE: </w:t>
      </w:r>
      <w:r w:rsidRPr="00C21749">
        <w:rPr>
          <w:i/>
          <w:iCs/>
          <w:color w:val="000000"/>
          <w:sz w:val="22"/>
          <w:szCs w:val="22"/>
        </w:rPr>
        <w:t>Due to the continuing evolution of the marketplace, new competitors frequently arise and will be assessed</w:t>
      </w:r>
      <w:r>
        <w:rPr>
          <w:i/>
          <w:iCs/>
          <w:color w:val="000000"/>
          <w:sz w:val="22"/>
          <w:szCs w:val="22"/>
        </w:rPr>
        <w:t xml:space="preserve"> </w:t>
      </w:r>
      <w:r w:rsidRPr="00C21749">
        <w:rPr>
          <w:i/>
          <w:iCs/>
          <w:color w:val="000000"/>
          <w:sz w:val="22"/>
          <w:szCs w:val="22"/>
        </w:rPr>
        <w:t>on an ongoing basis. Reviews will be handled within Ad Operations, and if there is ever a question on a competitor,</w:t>
      </w:r>
      <w:r>
        <w:rPr>
          <w:i/>
          <w:iCs/>
          <w:color w:val="000000"/>
          <w:sz w:val="22"/>
          <w:szCs w:val="22"/>
        </w:rPr>
        <w:t xml:space="preserve"> </w:t>
      </w:r>
      <w:r w:rsidRPr="00C21749">
        <w:rPr>
          <w:i/>
          <w:iCs/>
          <w:color w:val="000000"/>
          <w:sz w:val="22"/>
          <w:szCs w:val="22"/>
        </w:rPr>
        <w:t>Ad Operations should be engaged immediately.</w:t>
      </w:r>
    </w:p>
    <w:p w14:paraId="7924F87B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1A5D8684" w14:textId="77777777" w:rsidR="00620DEB" w:rsidRPr="00C21749" w:rsidRDefault="00620DEB" w:rsidP="005C478A">
      <w:pPr>
        <w:keepNext/>
        <w:jc w:val="both"/>
        <w:rPr>
          <w:b/>
          <w:bCs/>
          <w:color w:val="000000"/>
          <w:sz w:val="22"/>
          <w:szCs w:val="22"/>
        </w:rPr>
      </w:pPr>
      <w:r w:rsidRPr="00C21749">
        <w:rPr>
          <w:b/>
          <w:bCs/>
          <w:color w:val="000000"/>
          <w:sz w:val="22"/>
          <w:szCs w:val="22"/>
        </w:rPr>
        <w:t>Political Advertising Guidelines</w:t>
      </w:r>
    </w:p>
    <w:p w14:paraId="10FE24F0" w14:textId="77777777" w:rsidR="00620DEB" w:rsidRPr="00C21749" w:rsidRDefault="00620DEB" w:rsidP="00620DEB">
      <w:pPr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All advertisements concerning political candidates, campaigns, political parties or other political organizations will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be evaluated on a case-by-case basis. In addition to our standard Political Advertising Guidelines, AT&amp;T ADWORKS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reserves the right to review, request modifications to, or reject any advertisement at its sole discretion. However,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such discretion will not be exercised with the intent to favor or disfavor any particular candidate or political party.</w:t>
      </w:r>
    </w:p>
    <w:p w14:paraId="00DBBA66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088A78CE" w14:textId="77777777" w:rsidR="00620DEB" w:rsidRPr="007313A0" w:rsidRDefault="00620DEB" w:rsidP="00620DEB">
      <w:pPr>
        <w:jc w:val="both"/>
        <w:rPr>
          <w:bCs/>
          <w:color w:val="000000"/>
          <w:sz w:val="22"/>
          <w:szCs w:val="22"/>
        </w:rPr>
      </w:pPr>
      <w:r w:rsidRPr="007313A0">
        <w:rPr>
          <w:bCs/>
          <w:color w:val="000000"/>
          <w:sz w:val="22"/>
          <w:szCs w:val="22"/>
        </w:rPr>
        <w:t>Acceptable political ads include:</w:t>
      </w:r>
    </w:p>
    <w:p w14:paraId="43492E95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Ads expressly advocating the election or defeat of clearly identified candidates that are placed by</w:t>
      </w:r>
      <w:r>
        <w:rPr>
          <w:color w:val="000000"/>
          <w:sz w:val="22"/>
          <w:szCs w:val="22"/>
        </w:rPr>
        <w:t xml:space="preserve"> </w:t>
      </w:r>
      <w:r w:rsidRPr="00C21749">
        <w:rPr>
          <w:color w:val="000000"/>
          <w:sz w:val="22"/>
          <w:szCs w:val="22"/>
        </w:rPr>
        <w:t>candidates, political parties, or third parties</w:t>
      </w:r>
    </w:p>
    <w:p w14:paraId="698CF4DD" w14:textId="77777777" w:rsidR="00620DEB" w:rsidRPr="007313A0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7313A0">
        <w:rPr>
          <w:color w:val="000000"/>
          <w:sz w:val="22"/>
          <w:szCs w:val="22"/>
        </w:rPr>
        <w:t>Comparative advertisements focusing on the positions of the candidates and/or parties are acceptable.</w:t>
      </w:r>
      <w:r>
        <w:rPr>
          <w:color w:val="000000"/>
          <w:sz w:val="22"/>
          <w:szCs w:val="22"/>
        </w:rPr>
        <w:t xml:space="preserve"> </w:t>
      </w:r>
      <w:r w:rsidRPr="007313A0">
        <w:rPr>
          <w:color w:val="000000"/>
          <w:sz w:val="22"/>
          <w:szCs w:val="22"/>
        </w:rPr>
        <w:t>(Non-Issues based. ie. - Voting record/attendance etc.)</w:t>
      </w:r>
    </w:p>
    <w:p w14:paraId="5F9AA5A3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Ads soliciting financial contributions, or other support, to political candidates or parties.</w:t>
      </w:r>
    </w:p>
    <w:p w14:paraId="4AD158DF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Ads that are sponsored by qualified candidates for office.</w:t>
      </w:r>
    </w:p>
    <w:p w14:paraId="5C4B4A1D" w14:textId="77777777" w:rsidR="00620DEB" w:rsidRDefault="00620DEB" w:rsidP="00620DEB">
      <w:pPr>
        <w:jc w:val="both"/>
        <w:rPr>
          <w:b/>
          <w:bCs/>
          <w:color w:val="000000"/>
          <w:sz w:val="22"/>
          <w:szCs w:val="22"/>
        </w:rPr>
      </w:pPr>
    </w:p>
    <w:p w14:paraId="4F6711FA" w14:textId="77777777" w:rsidR="00620DEB" w:rsidRPr="007313A0" w:rsidRDefault="00620DEB" w:rsidP="00620DEB">
      <w:pPr>
        <w:jc w:val="both"/>
        <w:rPr>
          <w:bCs/>
          <w:color w:val="000000"/>
          <w:sz w:val="22"/>
          <w:szCs w:val="22"/>
        </w:rPr>
      </w:pPr>
      <w:r w:rsidRPr="007313A0">
        <w:rPr>
          <w:bCs/>
          <w:color w:val="000000"/>
          <w:sz w:val="22"/>
          <w:szCs w:val="22"/>
        </w:rPr>
        <w:t>Unacceptable political advertisements include:</w:t>
      </w:r>
    </w:p>
    <w:p w14:paraId="40297CB0" w14:textId="77777777" w:rsidR="00620DEB" w:rsidRPr="00C21749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Ads that advocate a specific public or political issue.</w:t>
      </w:r>
    </w:p>
    <w:p w14:paraId="12A12FC0" w14:textId="77777777" w:rsidR="00620DEB" w:rsidRPr="007313A0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Negative or attack advertising aimed at discrediting a candidate or party. (Ads highlighting stances on</w:t>
      </w:r>
      <w:r>
        <w:rPr>
          <w:color w:val="000000"/>
          <w:sz w:val="22"/>
          <w:szCs w:val="22"/>
        </w:rPr>
        <w:t xml:space="preserve"> </w:t>
      </w:r>
      <w:r w:rsidRPr="007313A0">
        <w:rPr>
          <w:color w:val="000000"/>
          <w:sz w:val="22"/>
          <w:szCs w:val="22"/>
        </w:rPr>
        <w:t>specific issues etc.)</w:t>
      </w:r>
    </w:p>
    <w:p w14:paraId="4CB19AFC" w14:textId="77777777" w:rsidR="00620DEB" w:rsidRPr="007313A0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>Ads that contain hate, violent or racist rhetoric or symbols, or material reasonably expected to be</w:t>
      </w:r>
      <w:r>
        <w:rPr>
          <w:color w:val="000000"/>
          <w:sz w:val="22"/>
          <w:szCs w:val="22"/>
        </w:rPr>
        <w:t xml:space="preserve"> </w:t>
      </w:r>
      <w:r w:rsidRPr="007313A0">
        <w:rPr>
          <w:color w:val="000000"/>
          <w:sz w:val="22"/>
          <w:szCs w:val="22"/>
        </w:rPr>
        <w:t xml:space="preserve">offensive to </w:t>
      </w:r>
      <w:r>
        <w:rPr>
          <w:color w:val="000000"/>
          <w:sz w:val="22"/>
          <w:szCs w:val="22"/>
        </w:rPr>
        <w:t>“</w:t>
      </w:r>
      <w:r w:rsidRPr="007313A0">
        <w:rPr>
          <w:color w:val="000000"/>
          <w:sz w:val="22"/>
          <w:szCs w:val="22"/>
        </w:rPr>
        <w:t>Publisher</w:t>
      </w:r>
      <w:r>
        <w:rPr>
          <w:color w:val="000000"/>
          <w:sz w:val="22"/>
          <w:szCs w:val="22"/>
        </w:rPr>
        <w:t>”</w:t>
      </w:r>
      <w:r w:rsidRPr="007313A0">
        <w:rPr>
          <w:color w:val="000000"/>
          <w:sz w:val="22"/>
          <w:szCs w:val="22"/>
        </w:rPr>
        <w:t xml:space="preserve"> users, without regard to ideological or partisan content.</w:t>
      </w:r>
    </w:p>
    <w:p w14:paraId="5493A544" w14:textId="77777777" w:rsidR="00620DEB" w:rsidRPr="007313A0" w:rsidRDefault="00620DEB" w:rsidP="00620DEB">
      <w:pPr>
        <w:pStyle w:val="ListParagraph"/>
        <w:numPr>
          <w:ilvl w:val="0"/>
          <w:numId w:val="1"/>
        </w:numPr>
        <w:contextualSpacing w:val="0"/>
        <w:jc w:val="both"/>
        <w:rPr>
          <w:color w:val="000000"/>
          <w:sz w:val="22"/>
          <w:szCs w:val="22"/>
        </w:rPr>
      </w:pPr>
      <w:r w:rsidRPr="00C21749">
        <w:rPr>
          <w:color w:val="000000"/>
          <w:sz w:val="22"/>
          <w:szCs w:val="22"/>
        </w:rPr>
        <w:t xml:space="preserve">Ads that utilize a </w:t>
      </w:r>
      <w:r>
        <w:rPr>
          <w:color w:val="000000"/>
          <w:sz w:val="22"/>
          <w:szCs w:val="22"/>
        </w:rPr>
        <w:t>“</w:t>
      </w:r>
      <w:r w:rsidRPr="00C21749">
        <w:rPr>
          <w:color w:val="000000"/>
          <w:sz w:val="22"/>
          <w:szCs w:val="22"/>
        </w:rPr>
        <w:t>pop-up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 xml:space="preserve"> or a </w:t>
      </w:r>
      <w:r>
        <w:rPr>
          <w:color w:val="000000"/>
          <w:sz w:val="22"/>
          <w:szCs w:val="22"/>
        </w:rPr>
        <w:t>“</w:t>
      </w:r>
      <w:r w:rsidRPr="00C21749">
        <w:rPr>
          <w:color w:val="000000"/>
          <w:sz w:val="22"/>
          <w:szCs w:val="22"/>
        </w:rPr>
        <w:t>daughter screen.</w:t>
      </w:r>
      <w:r>
        <w:rPr>
          <w:color w:val="000000"/>
          <w:sz w:val="22"/>
          <w:szCs w:val="22"/>
        </w:rPr>
        <w:t>”</w:t>
      </w:r>
      <w:r w:rsidRPr="00C21749">
        <w:rPr>
          <w:color w:val="000000"/>
          <w:sz w:val="22"/>
          <w:szCs w:val="22"/>
        </w:rPr>
        <w:t xml:space="preserve"> Note: Ads utilizing unsolicited audio content must</w:t>
      </w:r>
      <w:r>
        <w:rPr>
          <w:color w:val="000000"/>
          <w:sz w:val="22"/>
          <w:szCs w:val="22"/>
        </w:rPr>
        <w:t xml:space="preserve"> </w:t>
      </w:r>
      <w:r w:rsidRPr="007313A0">
        <w:rPr>
          <w:color w:val="000000"/>
          <w:sz w:val="22"/>
          <w:szCs w:val="22"/>
        </w:rPr>
        <w:t xml:space="preserve">conform to existing </w:t>
      </w:r>
      <w:r>
        <w:rPr>
          <w:color w:val="000000"/>
          <w:sz w:val="22"/>
          <w:szCs w:val="22"/>
        </w:rPr>
        <w:t>“</w:t>
      </w:r>
      <w:r w:rsidRPr="007313A0">
        <w:rPr>
          <w:color w:val="000000"/>
          <w:sz w:val="22"/>
          <w:szCs w:val="22"/>
        </w:rPr>
        <w:t>Publisher</w:t>
      </w:r>
      <w:r>
        <w:rPr>
          <w:color w:val="000000"/>
          <w:sz w:val="22"/>
          <w:szCs w:val="22"/>
        </w:rPr>
        <w:t>”</w:t>
      </w:r>
      <w:r w:rsidRPr="007313A0">
        <w:rPr>
          <w:color w:val="000000"/>
          <w:sz w:val="22"/>
          <w:szCs w:val="22"/>
        </w:rPr>
        <w:t xml:space="preserve"> advertising guidelines</w:t>
      </w:r>
    </w:p>
    <w:p w14:paraId="3F37F4E0" w14:textId="77777777" w:rsidR="00620DEB" w:rsidRDefault="00620DEB" w:rsidP="00620DEB">
      <w:pPr>
        <w:rPr>
          <w:b/>
          <w:bCs/>
          <w:i/>
          <w:iCs/>
          <w:color w:val="000000"/>
          <w:sz w:val="22"/>
          <w:szCs w:val="22"/>
        </w:rPr>
      </w:pPr>
    </w:p>
    <w:p w14:paraId="60BA00AD" w14:textId="77777777" w:rsidR="00620DEB" w:rsidRPr="007313A0" w:rsidRDefault="00620DEB" w:rsidP="00620DEB">
      <w:pPr>
        <w:rPr>
          <w:i/>
          <w:iCs/>
          <w:color w:val="000000"/>
          <w:sz w:val="22"/>
          <w:szCs w:val="22"/>
        </w:rPr>
      </w:pPr>
      <w:r w:rsidRPr="00C21749">
        <w:rPr>
          <w:b/>
          <w:bCs/>
          <w:i/>
          <w:iCs/>
          <w:color w:val="000000"/>
          <w:sz w:val="22"/>
          <w:szCs w:val="22"/>
        </w:rPr>
        <w:t xml:space="preserve">NOTE: </w:t>
      </w:r>
      <w:r w:rsidRPr="00C21749">
        <w:rPr>
          <w:i/>
          <w:iCs/>
          <w:color w:val="000000"/>
          <w:sz w:val="22"/>
          <w:szCs w:val="22"/>
        </w:rPr>
        <w:t xml:space="preserve">To be a </w:t>
      </w:r>
      <w:r>
        <w:rPr>
          <w:i/>
          <w:iCs/>
          <w:color w:val="000000"/>
          <w:sz w:val="22"/>
          <w:szCs w:val="22"/>
        </w:rPr>
        <w:t>“</w:t>
      </w:r>
      <w:r w:rsidRPr="00C21749">
        <w:rPr>
          <w:i/>
          <w:iCs/>
          <w:color w:val="000000"/>
          <w:sz w:val="22"/>
          <w:szCs w:val="22"/>
        </w:rPr>
        <w:t>qualified candidate</w:t>
      </w:r>
      <w:r>
        <w:rPr>
          <w:i/>
          <w:iCs/>
          <w:color w:val="000000"/>
          <w:sz w:val="22"/>
          <w:szCs w:val="22"/>
        </w:rPr>
        <w:t>”</w:t>
      </w:r>
      <w:r w:rsidRPr="00C21749">
        <w:rPr>
          <w:i/>
          <w:iCs/>
          <w:color w:val="000000"/>
          <w:sz w:val="22"/>
          <w:szCs w:val="22"/>
        </w:rPr>
        <w:t xml:space="preserve"> an individual must, at a minimum, have met the definition of </w:t>
      </w:r>
      <w:r>
        <w:rPr>
          <w:i/>
          <w:iCs/>
          <w:color w:val="000000"/>
          <w:sz w:val="22"/>
          <w:szCs w:val="22"/>
        </w:rPr>
        <w:t>“</w:t>
      </w:r>
      <w:r w:rsidRPr="00C21749">
        <w:rPr>
          <w:i/>
          <w:iCs/>
          <w:color w:val="000000"/>
          <w:sz w:val="22"/>
          <w:szCs w:val="22"/>
        </w:rPr>
        <w:t>candidate</w:t>
      </w:r>
      <w:r>
        <w:rPr>
          <w:i/>
          <w:iCs/>
          <w:color w:val="000000"/>
          <w:sz w:val="22"/>
          <w:szCs w:val="22"/>
        </w:rPr>
        <w:t xml:space="preserve">” </w:t>
      </w:r>
      <w:r w:rsidRPr="00C21749">
        <w:rPr>
          <w:i/>
          <w:iCs/>
          <w:color w:val="000000"/>
          <w:sz w:val="22"/>
          <w:szCs w:val="22"/>
        </w:rPr>
        <w:t xml:space="preserve">under applicable federal or state law. Please note there may be circumstances in which </w:t>
      </w:r>
      <w:r>
        <w:rPr>
          <w:i/>
          <w:iCs/>
          <w:color w:val="000000"/>
          <w:sz w:val="22"/>
          <w:szCs w:val="22"/>
        </w:rPr>
        <w:t>“</w:t>
      </w:r>
      <w:r w:rsidRPr="00C21749">
        <w:rPr>
          <w:i/>
          <w:iCs/>
          <w:color w:val="000000"/>
          <w:sz w:val="22"/>
          <w:szCs w:val="22"/>
        </w:rPr>
        <w:t>Publisher</w:t>
      </w:r>
      <w:r>
        <w:rPr>
          <w:i/>
          <w:iCs/>
          <w:color w:val="000000"/>
          <w:sz w:val="22"/>
          <w:szCs w:val="22"/>
        </w:rPr>
        <w:t>”</w:t>
      </w:r>
      <w:r w:rsidRPr="00C21749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will </w:t>
      </w:r>
      <w:r w:rsidRPr="00C21749">
        <w:rPr>
          <w:i/>
          <w:iCs/>
          <w:color w:val="000000"/>
          <w:sz w:val="22"/>
          <w:szCs w:val="22"/>
        </w:rPr>
        <w:t>impose additional requirements on advertis</w:t>
      </w:r>
      <w:r>
        <w:rPr>
          <w:i/>
          <w:iCs/>
          <w:color w:val="000000"/>
          <w:sz w:val="22"/>
          <w:szCs w:val="22"/>
        </w:rPr>
        <w:t>ements by political candidates.</w:t>
      </w:r>
    </w:p>
    <w:p w14:paraId="5AB8DBBD" w14:textId="77777777" w:rsidR="00BA03C2" w:rsidRPr="00620DEB" w:rsidRDefault="00BA03C2" w:rsidP="00620DEB"/>
    <w:sectPr w:rsidR="00BA03C2" w:rsidRPr="00620DEB" w:rsidSect="00620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C5C"/>
    <w:multiLevelType w:val="hybridMultilevel"/>
    <w:tmpl w:val="3BD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5C478A"/>
    <w:rsid w:val="00620DEB"/>
    <w:rsid w:val="00AA5BC5"/>
    <w:rsid w:val="00BA03C2"/>
    <w:rsid w:val="00C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2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EB"/>
    <w:pPr>
      <w:ind w:left="720"/>
      <w:contextualSpacing/>
    </w:pPr>
  </w:style>
  <w:style w:type="table" w:styleId="TableGrid">
    <w:name w:val="Table Grid"/>
    <w:basedOn w:val="TableNormal"/>
    <w:uiPriority w:val="59"/>
    <w:rsid w:val="00620D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EB"/>
    <w:pPr>
      <w:ind w:left="720"/>
      <w:contextualSpacing/>
    </w:pPr>
  </w:style>
  <w:style w:type="table" w:styleId="TableGrid">
    <w:name w:val="Table Grid"/>
    <w:basedOn w:val="TableNormal"/>
    <w:uiPriority w:val="59"/>
    <w:rsid w:val="00620D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2578</Words>
  <Characters>14695</Characters>
  <Application>Microsoft Macintosh Word</Application>
  <DocSecurity>0</DocSecurity>
  <Lines>122</Lines>
  <Paragraphs>34</Paragraphs>
  <ScaleCrop>false</ScaleCrop>
  <Company>Charter Communications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Benjamin J</dc:creator>
  <cp:keywords/>
  <dc:description/>
  <cp:lastModifiedBy>Cristie Green</cp:lastModifiedBy>
  <cp:revision>4</cp:revision>
  <dcterms:created xsi:type="dcterms:W3CDTF">2017-01-17T21:37:00Z</dcterms:created>
  <dcterms:modified xsi:type="dcterms:W3CDTF">2017-02-02T15:07:00Z</dcterms:modified>
</cp:coreProperties>
</file>